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A6059" w14:textId="7187D844" w:rsidR="00CF52D3" w:rsidRPr="00B80AD6" w:rsidRDefault="00B80AD6" w:rsidP="00B80AD6">
      <w:hyperlink r:id="rId4" w:history="1">
        <w:r>
          <w:rPr>
            <w:rStyle w:val="Hyperlink"/>
          </w:rPr>
          <w:t>https://www.gov.uk/government/news/cotswold-water-park-given-greater-protection-by-natural-england</w:t>
        </w:r>
      </w:hyperlink>
    </w:p>
    <w:sectPr w:rsidR="00CF52D3" w:rsidRPr="00B80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D6"/>
    <w:rsid w:val="00B80AD6"/>
    <w:rsid w:val="00C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E497"/>
  <w15:chartTrackingRefBased/>
  <w15:docId w15:val="{4B105360-650A-4186-B7C7-DCFA921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0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news/cotswold-water-park-given-greater-protection-by-natural-eng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Clerks</cp:lastModifiedBy>
  <cp:revision>1</cp:revision>
  <dcterms:created xsi:type="dcterms:W3CDTF">2021-01-20T10:01:00Z</dcterms:created>
  <dcterms:modified xsi:type="dcterms:W3CDTF">2021-01-20T10:01:00Z</dcterms:modified>
</cp:coreProperties>
</file>